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7A3CD">
      <w:pPr>
        <w:spacing w:after="156" w:afterLines="50" w:line="600" w:lineRule="exact"/>
        <w:jc w:val="center"/>
        <w:rPr>
          <w:rFonts w:hint="eastAsia" w:ascii="华文中宋" w:hAnsi="华文中宋" w:eastAsia="华文中宋" w:cs="华文中宋"/>
          <w:color w:val="000000"/>
          <w:sz w:val="44"/>
          <w:szCs w:val="44"/>
        </w:rPr>
      </w:pPr>
      <w:bookmarkStart w:id="0" w:name="OLE_LINK163"/>
      <w:r>
        <w:rPr>
          <w:rFonts w:hint="eastAsia" w:ascii="华文中宋" w:hAnsi="华文中宋" w:eastAsia="华文中宋" w:cs="华文中宋"/>
          <w:color w:val="000000"/>
          <w:sz w:val="44"/>
          <w:szCs w:val="44"/>
        </w:rPr>
        <w:t>中国新闻奖新闻期刊参评作品推荐表</w:t>
      </w:r>
    </w:p>
    <w:tbl>
      <w:tblPr>
        <w:tblStyle w:val="6"/>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737A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6" w:hRule="exact"/>
          <w:jc w:val="center"/>
        </w:trPr>
        <w:tc>
          <w:tcPr>
            <w:tcW w:w="992" w:type="dxa"/>
            <w:tcBorders>
              <w:tl2br w:val="nil"/>
              <w:tr2bl w:val="nil"/>
            </w:tcBorders>
            <w:vAlign w:val="center"/>
          </w:tcPr>
          <w:p w14:paraId="0737A3CE">
            <w:pPr>
              <w:spacing w:line="320" w:lineRule="exact"/>
              <w:jc w:val="center"/>
              <w:rPr>
                <w:rFonts w:hint="eastAsia" w:ascii="华文中宋" w:hAnsi="华文中宋" w:eastAsia="华文中宋"/>
                <w:color w:val="000000"/>
                <w:sz w:val="28"/>
              </w:rPr>
            </w:pPr>
            <w:bookmarkStart w:id="1" w:name="_Hlk227067359"/>
            <w:bookmarkStart w:id="2" w:name="_Hlk227067363"/>
            <w:r>
              <w:rPr>
                <w:rFonts w:hint="eastAsia" w:ascii="华文中宋" w:hAnsi="华文中宋" w:eastAsia="华文中宋"/>
                <w:color w:val="000000"/>
                <w:sz w:val="28"/>
              </w:rPr>
              <w:t>作品</w:t>
            </w:r>
          </w:p>
          <w:p w14:paraId="0737A3C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0737A3D0">
            <w:pPr>
              <w:spacing w:line="260" w:lineRule="exact"/>
              <w:rPr>
                <w:rFonts w:hint="eastAsia" w:ascii="仿宋" w:hAnsi="仿宋" w:eastAsia="仿宋" w:cs="仿宋"/>
                <w:color w:val="000000"/>
                <w:sz w:val="21"/>
                <w:szCs w:val="15"/>
              </w:rPr>
            </w:pPr>
            <w:bookmarkStart w:id="3" w:name="OLE_LINK128"/>
            <w:r>
              <w:rPr>
                <w:rFonts w:hint="eastAsia" w:ascii="仿宋" w:hAnsi="仿宋" w:eastAsia="仿宋" w:cs="仿宋"/>
                <w:color w:val="000000"/>
                <w:sz w:val="21"/>
                <w:szCs w:val="15"/>
                <w:lang w:val="en-US" w:eastAsia="zh-CN"/>
              </w:rPr>
              <w:t>她们一起在绿茵场上奔跑，就是</w:t>
            </w:r>
            <w:bookmarkStart w:id="4" w:name="OLE_LINK127"/>
            <w:r>
              <w:rPr>
                <w:rFonts w:hint="eastAsia" w:ascii="仿宋" w:hAnsi="仿宋" w:eastAsia="仿宋" w:cs="仿宋"/>
                <w:color w:val="000000"/>
                <w:sz w:val="21"/>
                <w:szCs w:val="15"/>
                <w:lang w:val="en-US" w:eastAsia="zh-CN"/>
              </w:rPr>
              <w:t>民族团结最美的样子</w:t>
            </w:r>
            <w:bookmarkEnd w:id="3"/>
            <w:bookmarkEnd w:id="4"/>
          </w:p>
        </w:tc>
        <w:tc>
          <w:tcPr>
            <w:tcW w:w="1819" w:type="dxa"/>
            <w:gridSpan w:val="2"/>
            <w:tcBorders>
              <w:tl2br w:val="nil"/>
              <w:tr2bl w:val="nil"/>
            </w:tcBorders>
            <w:vAlign w:val="center"/>
          </w:tcPr>
          <w:p w14:paraId="0737A3D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0737A3D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0737A3D3">
            <w:pPr>
              <w:spacing w:line="26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评论</w:t>
            </w:r>
          </w:p>
        </w:tc>
      </w:tr>
      <w:tr w14:paraId="0737A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992" w:type="dxa"/>
            <w:vMerge w:val="restart"/>
            <w:tcBorders>
              <w:tl2br w:val="nil"/>
              <w:tr2bl w:val="nil"/>
            </w:tcBorders>
            <w:vAlign w:val="center"/>
          </w:tcPr>
          <w:p w14:paraId="0737A3D5">
            <w:pPr>
              <w:spacing w:line="320" w:lineRule="exact"/>
              <w:jc w:val="center"/>
              <w:rPr>
                <w:rFonts w:hint="eastAsia" w:ascii="华文中宋" w:hAnsi="华文中宋" w:eastAsia="华文中宋"/>
                <w:color w:val="000000"/>
                <w:sz w:val="28"/>
              </w:rPr>
            </w:pPr>
            <w:bookmarkStart w:id="5" w:name="_Hlk227067370"/>
            <w:r>
              <w:rPr>
                <w:rFonts w:hint="eastAsia" w:ascii="华文中宋" w:hAnsi="华文中宋" w:eastAsia="华文中宋"/>
                <w:color w:val="000000"/>
                <w:sz w:val="28"/>
              </w:rPr>
              <w:t>字数</w:t>
            </w:r>
          </w:p>
          <w:p w14:paraId="0737A3D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0737A3D7">
            <w:pPr>
              <w:spacing w:line="26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865字</w:t>
            </w:r>
          </w:p>
        </w:tc>
        <w:tc>
          <w:tcPr>
            <w:tcW w:w="1819" w:type="dxa"/>
            <w:gridSpan w:val="2"/>
            <w:tcBorders>
              <w:tl2br w:val="nil"/>
              <w:tr2bl w:val="nil"/>
            </w:tcBorders>
            <w:vAlign w:val="center"/>
          </w:tcPr>
          <w:p w14:paraId="0737A3D8">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737A3D9">
            <w:pPr>
              <w:spacing w:line="26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评论</w:t>
            </w:r>
          </w:p>
        </w:tc>
      </w:tr>
      <w:tr w14:paraId="0737A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2" w:type="dxa"/>
            <w:vMerge w:val="continue"/>
            <w:tcBorders>
              <w:tl2br w:val="nil"/>
              <w:tr2bl w:val="nil"/>
            </w:tcBorders>
            <w:vAlign w:val="center"/>
          </w:tcPr>
          <w:p w14:paraId="0737A3DB">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737A3DC">
            <w:pPr>
              <w:spacing w:line="380" w:lineRule="exact"/>
              <w:ind w:firstLine="560"/>
              <w:jc w:val="center"/>
              <w:rPr>
                <w:rFonts w:hint="eastAsia" w:ascii="华文中宋" w:hAnsi="华文中宋" w:eastAsia="华文中宋"/>
                <w:color w:val="000000"/>
                <w:sz w:val="24"/>
                <w:szCs w:val="24"/>
              </w:rPr>
            </w:pPr>
          </w:p>
        </w:tc>
        <w:tc>
          <w:tcPr>
            <w:tcW w:w="1819" w:type="dxa"/>
            <w:gridSpan w:val="2"/>
            <w:tcBorders>
              <w:tl2br w:val="nil"/>
              <w:tr2bl w:val="nil"/>
            </w:tcBorders>
            <w:vAlign w:val="center"/>
          </w:tcPr>
          <w:p w14:paraId="0737A3DD">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0737A3DE">
            <w:pPr>
              <w:spacing w:line="26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中文</w:t>
            </w:r>
          </w:p>
        </w:tc>
      </w:tr>
      <w:bookmarkEnd w:id="1"/>
      <w:tr w14:paraId="0737A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2" w:type="dxa"/>
            <w:tcBorders>
              <w:tl2br w:val="nil"/>
              <w:tr2bl w:val="nil"/>
            </w:tcBorders>
            <w:vAlign w:val="center"/>
          </w:tcPr>
          <w:p w14:paraId="0737A3E0">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0737A3E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0737A3E2">
            <w:pPr>
              <w:spacing w:line="260" w:lineRule="exact"/>
              <w:rPr>
                <w:rFonts w:hint="eastAsia" w:ascii="华文中宋" w:hAnsi="华文中宋" w:eastAsia="华文中宋"/>
                <w:color w:val="000000"/>
                <w:sz w:val="24"/>
                <w:szCs w:val="24"/>
              </w:rPr>
            </w:pPr>
            <w:r>
              <w:rPr>
                <w:rFonts w:hint="eastAsia" w:ascii="仿宋" w:hAnsi="仿宋" w:eastAsia="仿宋" w:cs="仿宋"/>
                <w:color w:val="000000"/>
                <w:sz w:val="21"/>
                <w:szCs w:val="15"/>
                <w:lang w:val="en-US" w:eastAsia="zh-CN"/>
              </w:rPr>
              <w:t>王晓艳</w:t>
            </w:r>
          </w:p>
        </w:tc>
        <w:tc>
          <w:tcPr>
            <w:tcW w:w="1819" w:type="dxa"/>
            <w:gridSpan w:val="2"/>
            <w:tcBorders>
              <w:tl2br w:val="nil"/>
              <w:tr2bl w:val="nil"/>
            </w:tcBorders>
            <w:vAlign w:val="center"/>
          </w:tcPr>
          <w:p w14:paraId="0737A3E3">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0737A3E4">
            <w:pPr>
              <w:spacing w:line="24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柳亚敏</w:t>
            </w:r>
          </w:p>
        </w:tc>
      </w:tr>
      <w:tr w14:paraId="0737A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0737A3E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737A3E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0737A3E8">
            <w:pPr>
              <w:spacing w:line="240" w:lineRule="exact"/>
              <w:rPr>
                <w:rFonts w:ascii="方正仿宋_GB2312" w:hAnsi="仿宋"/>
                <w:color w:val="000000"/>
                <w:sz w:val="24"/>
                <w:szCs w:val="24"/>
              </w:rPr>
            </w:pPr>
            <w:r>
              <w:rPr>
                <w:rFonts w:hint="eastAsia" w:ascii="仿宋" w:hAnsi="仿宋" w:eastAsia="仿宋" w:cs="仿宋"/>
                <w:color w:val="000000"/>
                <w:sz w:val="21"/>
                <w:szCs w:val="15"/>
                <w:lang w:val="en-US" w:eastAsia="zh-CN"/>
              </w:rPr>
              <w:t>中国妇女杂志社</w:t>
            </w:r>
          </w:p>
        </w:tc>
        <w:tc>
          <w:tcPr>
            <w:tcW w:w="1819" w:type="dxa"/>
            <w:gridSpan w:val="2"/>
            <w:tcBorders>
              <w:tl2br w:val="nil"/>
              <w:tr2bl w:val="nil"/>
            </w:tcBorders>
            <w:vAlign w:val="center"/>
          </w:tcPr>
          <w:p w14:paraId="0737A3E9">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0737A3EA">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0737A3EB">
            <w:pPr>
              <w:spacing w:line="240" w:lineRule="exact"/>
              <w:rPr>
                <w:rFonts w:hint="eastAsia" w:ascii="仿宋" w:hAnsi="仿宋" w:eastAsia="仿宋" w:cs="仿宋"/>
                <w:color w:val="000000"/>
                <w:sz w:val="24"/>
                <w:szCs w:val="24"/>
              </w:rPr>
            </w:pPr>
            <w:r>
              <w:rPr>
                <w:rFonts w:hint="eastAsia" w:ascii="仿宋" w:hAnsi="仿宋" w:eastAsia="仿宋" w:cs="仿宋"/>
                <w:color w:val="000000"/>
                <w:sz w:val="21"/>
                <w:szCs w:val="15"/>
                <w:lang w:val="en-US" w:eastAsia="zh-CN"/>
              </w:rPr>
              <w:t>《中国妇女》杂志</w:t>
            </w:r>
          </w:p>
        </w:tc>
      </w:tr>
      <w:bookmarkEnd w:id="2"/>
      <w:bookmarkEnd w:id="5"/>
      <w:tr w14:paraId="0737A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6" w:hRule="exact"/>
          <w:jc w:val="center"/>
        </w:trPr>
        <w:tc>
          <w:tcPr>
            <w:tcW w:w="1504" w:type="dxa"/>
            <w:gridSpan w:val="2"/>
            <w:tcBorders>
              <w:tl2br w:val="nil"/>
              <w:tr2bl w:val="nil"/>
            </w:tcBorders>
            <w:vAlign w:val="center"/>
          </w:tcPr>
          <w:p w14:paraId="0737A3E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0737A3EE">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3"/>
            <w:tcBorders>
              <w:tl2br w:val="nil"/>
              <w:tr2bl w:val="nil"/>
            </w:tcBorders>
            <w:vAlign w:val="center"/>
          </w:tcPr>
          <w:p w14:paraId="0737A3EF">
            <w:pPr>
              <w:spacing w:line="260" w:lineRule="exact"/>
              <w:rPr>
                <w:rFonts w:hint="eastAsia" w:ascii="方正仿宋_GB2312" w:hAnsi="仿宋"/>
                <w:color w:val="000000"/>
                <w:sz w:val="24"/>
                <w:szCs w:val="24"/>
              </w:rPr>
            </w:pPr>
            <w:r>
              <w:rPr>
                <w:rFonts w:hint="eastAsia" w:ascii="仿宋" w:hAnsi="仿宋" w:eastAsia="仿宋" w:cs="仿宋"/>
                <w:color w:val="000000"/>
                <w:sz w:val="21"/>
                <w:szCs w:val="15"/>
                <w:lang w:val="en-US" w:eastAsia="zh-CN"/>
              </w:rPr>
              <w:t>《中国妇女》杂志2025年第8期（上半月），特别报道栏目</w:t>
            </w:r>
          </w:p>
        </w:tc>
        <w:tc>
          <w:tcPr>
            <w:tcW w:w="872" w:type="dxa"/>
            <w:tcBorders>
              <w:tl2br w:val="nil"/>
              <w:tr2bl w:val="nil"/>
            </w:tcBorders>
            <w:vAlign w:val="center"/>
          </w:tcPr>
          <w:p w14:paraId="0737A3F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0737A3F1">
            <w:pPr>
              <w:spacing w:line="240" w:lineRule="exact"/>
              <w:rPr>
                <w:rFonts w:hint="eastAsia" w:ascii="方正仿宋_GB2312" w:hAnsi="仿宋" w:eastAsia="仿宋"/>
                <w:color w:val="000000"/>
                <w:sz w:val="24"/>
                <w:szCs w:val="24"/>
                <w:lang w:eastAsia="zh-CN"/>
              </w:rPr>
            </w:pPr>
            <w:bookmarkStart w:id="6" w:name="OLE_LINK170"/>
            <w:r>
              <w:rPr>
                <w:rFonts w:hint="eastAsia" w:ascii="仿宋" w:hAnsi="仿宋" w:eastAsia="仿宋" w:cs="仿宋"/>
                <w:color w:val="000000"/>
                <w:sz w:val="21"/>
                <w:szCs w:val="15"/>
                <w:lang w:val="en-US" w:eastAsia="zh-CN"/>
              </w:rPr>
              <w:t>2025年8</w:t>
            </w:r>
            <w:bookmarkEnd w:id="6"/>
            <w:r>
              <w:rPr>
                <w:rFonts w:hint="eastAsia" w:ascii="仿宋" w:hAnsi="仿宋" w:eastAsia="仿宋" w:cs="仿宋"/>
                <w:color w:val="000000"/>
                <w:sz w:val="21"/>
                <w:szCs w:val="15"/>
                <w:lang w:val="en-US" w:eastAsia="zh-CN"/>
              </w:rPr>
              <w:t>月</w:t>
            </w:r>
          </w:p>
        </w:tc>
      </w:tr>
      <w:tr w14:paraId="0737A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jc w:val="center"/>
        </w:trPr>
        <w:tc>
          <w:tcPr>
            <w:tcW w:w="1504" w:type="dxa"/>
            <w:gridSpan w:val="2"/>
            <w:tcBorders>
              <w:tl2br w:val="nil"/>
              <w:tr2bl w:val="nil"/>
            </w:tcBorders>
            <w:vAlign w:val="center"/>
          </w:tcPr>
          <w:p w14:paraId="0737A3F3">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0737A3F4">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0737A3F5">
            <w:pPr>
              <w:spacing w:line="260" w:lineRule="exact"/>
              <w:rPr>
                <w:rFonts w:hint="eastAsia" w:ascii="华文中宋" w:hAnsi="华文中宋" w:eastAsia="华文中宋"/>
                <w:color w:val="000000"/>
                <w:sz w:val="28"/>
              </w:rPr>
            </w:pPr>
          </w:p>
        </w:tc>
        <w:tc>
          <w:tcPr>
            <w:tcW w:w="1742" w:type="dxa"/>
            <w:gridSpan w:val="2"/>
            <w:tcBorders>
              <w:tl2br w:val="nil"/>
              <w:tr2bl w:val="nil"/>
            </w:tcBorders>
            <w:vAlign w:val="center"/>
          </w:tcPr>
          <w:p w14:paraId="0737A3F6">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0737A3F7">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0737A3F8">
            <w:pPr>
              <w:spacing w:line="240" w:lineRule="exact"/>
              <w:rPr>
                <w:rFonts w:hint="eastAsia" w:ascii="华文中宋" w:hAnsi="华文中宋" w:eastAsia="华文中宋"/>
                <w:color w:val="000000"/>
                <w:sz w:val="28"/>
                <w:lang w:val="en-US" w:eastAsia="zh-CN"/>
              </w:rPr>
            </w:pPr>
            <w:r>
              <w:rPr>
                <w:rFonts w:hint="eastAsia" w:ascii="仿宋" w:hAnsi="仿宋" w:eastAsia="仿宋" w:cs="仿宋"/>
                <w:color w:val="000000"/>
                <w:sz w:val="21"/>
                <w:szCs w:val="15"/>
                <w:lang w:val="en-US" w:eastAsia="zh-CN"/>
              </w:rPr>
              <w:t>否</w:t>
            </w:r>
          </w:p>
        </w:tc>
      </w:tr>
      <w:tr w14:paraId="0737A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1" w:hRule="atLeast"/>
          <w:jc w:val="center"/>
        </w:trPr>
        <w:tc>
          <w:tcPr>
            <w:tcW w:w="992" w:type="dxa"/>
            <w:tcBorders>
              <w:tl2br w:val="nil"/>
              <w:tr2bl w:val="nil"/>
            </w:tcBorders>
            <w:vAlign w:val="center"/>
          </w:tcPr>
          <w:p w14:paraId="0737A3FA">
            <w:pPr>
              <w:spacing w:line="320" w:lineRule="exact"/>
              <w:jc w:val="center"/>
              <w:rPr>
                <w:rFonts w:hint="eastAsia" w:ascii="华文中宋" w:hAnsi="华文中宋" w:eastAsia="华文中宋"/>
                <w:color w:val="000000"/>
                <w:sz w:val="28"/>
              </w:rPr>
            </w:pPr>
            <w:bookmarkStart w:id="7" w:name="_Hlk227067104"/>
            <w:r>
              <w:rPr>
                <w:rFonts w:hint="eastAsia" w:ascii="华文中宋" w:hAnsi="华文中宋" w:eastAsia="华文中宋"/>
                <w:color w:val="000000"/>
                <w:sz w:val="28"/>
              </w:rPr>
              <w:t>作</w:t>
            </w:r>
          </w:p>
          <w:p w14:paraId="0737A3F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0737A3F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0737A3FD">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0737A40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cs="仿宋"/>
                <w:color w:val="000000"/>
                <w:sz w:val="24"/>
                <w:szCs w:val="24"/>
              </w:rPr>
            </w:pPr>
            <w:bookmarkStart w:id="8" w:name="OLE_LINK130"/>
            <w:bookmarkStart w:id="9" w:name="OLE_LINK149"/>
            <w:bookmarkStart w:id="10" w:name="OLE_LINK105"/>
            <w:bookmarkStart w:id="11" w:name="OLE_LINK122"/>
            <w:bookmarkStart w:id="12" w:name="OLE_LINK172"/>
            <w:r>
              <w:rPr>
                <w:rFonts w:hint="eastAsia" w:ascii="仿宋" w:hAnsi="仿宋" w:eastAsia="仿宋" w:cs="仿宋"/>
                <w:color w:val="000000"/>
                <w:sz w:val="21"/>
                <w:szCs w:val="21"/>
                <w:lang w:val="en-US" w:eastAsia="zh-CN"/>
              </w:rPr>
              <w:t>在新疆维吾尔自治区成立70周年</w:t>
            </w:r>
            <w:bookmarkEnd w:id="8"/>
            <w:r>
              <w:rPr>
                <w:rFonts w:hint="eastAsia" w:ascii="仿宋" w:hAnsi="仿宋" w:eastAsia="仿宋" w:cs="仿宋"/>
                <w:color w:val="000000"/>
                <w:sz w:val="21"/>
                <w:szCs w:val="21"/>
                <w:lang w:val="en-US" w:eastAsia="zh-CN"/>
              </w:rPr>
              <w:t>之际</w:t>
            </w:r>
            <w:bookmarkEnd w:id="9"/>
            <w:r>
              <w:rPr>
                <w:rFonts w:hint="eastAsia" w:ascii="仿宋" w:hAnsi="仿宋" w:eastAsia="仿宋" w:cs="仿宋"/>
                <w:color w:val="000000"/>
                <w:sz w:val="21"/>
                <w:szCs w:val="21"/>
                <w:lang w:val="en-US" w:eastAsia="zh-CN"/>
              </w:rPr>
              <w:t>，本刊记者赴新疆喀什采访</w:t>
            </w:r>
            <w:bookmarkStart w:id="13" w:name="OLE_LINK126"/>
            <w:r>
              <w:rPr>
                <w:rFonts w:hint="eastAsia" w:ascii="仿宋" w:hAnsi="仿宋" w:eastAsia="仿宋" w:cs="仿宋"/>
                <w:color w:val="000000"/>
                <w:sz w:val="21"/>
                <w:szCs w:val="21"/>
                <w:lang w:val="en-US" w:eastAsia="zh-CN"/>
              </w:rPr>
              <w:t>首届全国青少年女子足球民族团结友谊赛</w:t>
            </w:r>
            <w:bookmarkEnd w:id="13"/>
            <w:r>
              <w:rPr>
                <w:rFonts w:hint="eastAsia" w:ascii="仿宋" w:hAnsi="仿宋" w:eastAsia="仿宋" w:cs="仿宋"/>
                <w:color w:val="000000"/>
                <w:sz w:val="21"/>
                <w:szCs w:val="21"/>
                <w:lang w:val="en-US" w:eastAsia="zh-CN"/>
              </w:rPr>
              <w:t>，融入14个民族的3</w:t>
            </w:r>
            <w:bookmarkStart w:id="14" w:name="OLE_LINK116"/>
            <w:r>
              <w:rPr>
                <w:rFonts w:hint="eastAsia" w:ascii="仿宋" w:hAnsi="仿宋" w:eastAsia="仿宋" w:cs="仿宋"/>
                <w:color w:val="000000"/>
                <w:sz w:val="21"/>
                <w:szCs w:val="21"/>
                <w:lang w:val="en-US" w:eastAsia="zh-CN"/>
              </w:rPr>
              <w:t>30多名女孩的比赛与生活，见证她们在绿茵场上并肩奔跑、团结拼搏，满含深情写下这篇评论，从体育魅力、女性力量、青春中国三个维度层层剖开，</w:t>
            </w:r>
            <w:bookmarkStart w:id="15" w:name="OLE_LINK121"/>
            <w:bookmarkStart w:id="16" w:name="OLE_LINK118"/>
            <w:bookmarkStart w:id="17" w:name="OLE_LINK109"/>
            <w:r>
              <w:rPr>
                <w:rFonts w:hint="eastAsia" w:ascii="仿宋" w:hAnsi="仿宋" w:eastAsia="仿宋" w:cs="仿宋"/>
                <w:color w:val="000000"/>
                <w:sz w:val="21"/>
                <w:szCs w:val="21"/>
                <w:lang w:val="en-US" w:eastAsia="zh-CN"/>
              </w:rPr>
              <w:t>将一场赛事升华为民族团结的时代注脚。</w:t>
            </w:r>
            <w:bookmarkEnd w:id="15"/>
            <w:r>
              <w:rPr>
                <w:rFonts w:hint="eastAsia" w:ascii="仿宋" w:hAnsi="仿宋" w:eastAsia="仿宋" w:cs="仿宋"/>
                <w:color w:val="000000"/>
                <w:sz w:val="21"/>
                <w:szCs w:val="21"/>
                <w:lang w:val="en-US" w:eastAsia="zh-CN"/>
              </w:rPr>
              <w:t>各民族女孩们在赛场上默契配合、在场下亲密无间时，中华民族共同体就是可感可知的温暖现实。</w:t>
            </w:r>
            <w:bookmarkEnd w:id="16"/>
            <w:r>
              <w:rPr>
                <w:rFonts w:hint="eastAsia" w:ascii="仿宋" w:hAnsi="仿宋" w:eastAsia="仿宋" w:cs="仿宋"/>
                <w:color w:val="000000"/>
                <w:sz w:val="21"/>
                <w:szCs w:val="21"/>
                <w:lang w:val="en-US" w:eastAsia="zh-CN"/>
              </w:rPr>
              <w:t>落笔于</w:t>
            </w:r>
            <w:bookmarkStart w:id="18" w:name="OLE_LINK117"/>
            <w:r>
              <w:rPr>
                <w:rFonts w:hint="eastAsia" w:ascii="仿宋" w:hAnsi="仿宋" w:eastAsia="仿宋" w:cs="仿宋"/>
                <w:color w:val="000000"/>
                <w:sz w:val="21"/>
                <w:szCs w:val="21"/>
                <w:lang w:val="en-US" w:eastAsia="zh-CN"/>
              </w:rPr>
              <w:t xml:space="preserve"> </w:t>
            </w:r>
            <w:bookmarkEnd w:id="18"/>
            <w:r>
              <w:rPr>
                <w:rFonts w:hint="eastAsia" w:ascii="仿宋" w:hAnsi="仿宋" w:eastAsia="仿宋" w:cs="仿宋"/>
                <w:color w:val="000000"/>
                <w:sz w:val="21"/>
                <w:szCs w:val="21"/>
                <w:lang w:val="en-US" w:eastAsia="zh-CN"/>
              </w:rPr>
              <w:t>“团结就是最厉害的</w:t>
            </w:r>
            <w:bookmarkEnd w:id="14"/>
            <w:r>
              <w:rPr>
                <w:rFonts w:hint="eastAsia" w:ascii="仿宋" w:hAnsi="仿宋" w:eastAsia="仿宋" w:cs="仿宋"/>
                <w:color w:val="000000"/>
                <w:sz w:val="21"/>
                <w:szCs w:val="21"/>
                <w:lang w:val="en-US" w:eastAsia="zh-CN"/>
              </w:rPr>
              <w:t>战术”，</w:t>
            </w:r>
            <w:bookmarkEnd w:id="17"/>
            <w:r>
              <w:rPr>
                <w:rFonts w:hint="eastAsia" w:ascii="仿宋" w:hAnsi="仿宋" w:eastAsia="仿宋" w:cs="仿宋"/>
                <w:color w:val="000000"/>
                <w:sz w:val="21"/>
                <w:szCs w:val="21"/>
                <w:lang w:val="en-US" w:eastAsia="zh-CN"/>
              </w:rPr>
              <w:t>提升到女孩不仅可以踢好足球，更能踢出精彩人生，指出在比赛中培养的团队精神和拼搏意志必将在她们长大后转化为共同建设祖国的强大动能。</w:t>
            </w:r>
            <w:bookmarkEnd w:id="10"/>
            <w:bookmarkEnd w:id="11"/>
            <w:r>
              <w:rPr>
                <w:rFonts w:hint="eastAsia" w:ascii="仿宋" w:hAnsi="仿宋" w:eastAsia="仿宋" w:cs="仿宋"/>
                <w:color w:val="000000"/>
                <w:sz w:val="21"/>
                <w:szCs w:val="21"/>
                <w:lang w:val="en-US" w:eastAsia="zh-CN"/>
              </w:rPr>
              <w:t>评论文章引发深度回响，将一场赛事的意义转化为可复制的实践模式，让“铸牢中华民族共同体意识”从抽象概念落地为具体画面，推动更多女孩有机会通过足球走出大山，走向更广阔的世界。</w:t>
            </w:r>
            <w:bookmarkEnd w:id="12"/>
          </w:p>
        </w:tc>
      </w:tr>
      <w:bookmarkEnd w:id="7"/>
      <w:tr w14:paraId="0737A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exact"/>
          <w:jc w:val="center"/>
        </w:trPr>
        <w:tc>
          <w:tcPr>
            <w:tcW w:w="992" w:type="dxa"/>
            <w:vMerge w:val="restart"/>
            <w:tcBorders>
              <w:tl2br w:val="nil"/>
              <w:tr2bl w:val="nil"/>
            </w:tcBorders>
            <w:vAlign w:val="center"/>
          </w:tcPr>
          <w:p w14:paraId="0737A40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0737A40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0737A404">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0737A40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737A4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0737A4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14:paraId="0737A408">
            <w:pPr>
              <w:spacing w:line="280" w:lineRule="exact"/>
              <w:rPr>
                <w:rFonts w:hint="eastAsia" w:ascii="仿宋" w:hAnsi="仿宋" w:eastAsia="仿宋"/>
                <w:color w:val="000000"/>
                <w:szCs w:val="21"/>
              </w:rPr>
            </w:pPr>
          </w:p>
        </w:tc>
      </w:tr>
      <w:tr w14:paraId="0737A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0737A40A">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14:paraId="0737A40B">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737A40C">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vAlign w:val="center"/>
          </w:tcPr>
          <w:p w14:paraId="0737A40D">
            <w:pPr>
              <w:spacing w:line="240" w:lineRule="exact"/>
              <w:rPr>
                <w:rFonts w:hint="eastAsia" w:ascii="仿宋" w:hAnsi="仿宋" w:eastAsia="仿宋"/>
                <w:color w:val="000000"/>
                <w:sz w:val="21"/>
                <w:szCs w:val="21"/>
              </w:rPr>
            </w:pPr>
          </w:p>
        </w:tc>
        <w:tc>
          <w:tcPr>
            <w:tcW w:w="1005" w:type="dxa"/>
            <w:tcBorders>
              <w:tl2br w:val="nil"/>
              <w:tr2bl w:val="nil"/>
            </w:tcBorders>
            <w:vAlign w:val="center"/>
          </w:tcPr>
          <w:p w14:paraId="0737A40E">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737A40F">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0737A410">
            <w:pPr>
              <w:spacing w:line="240" w:lineRule="exact"/>
              <w:rPr>
                <w:rFonts w:hint="eastAsia" w:ascii="仿宋" w:hAnsi="仿宋" w:eastAsia="仿宋"/>
                <w:color w:val="000000"/>
                <w:sz w:val="21"/>
                <w:szCs w:val="21"/>
              </w:rPr>
            </w:pPr>
          </w:p>
        </w:tc>
        <w:tc>
          <w:tcPr>
            <w:tcW w:w="1122" w:type="dxa"/>
            <w:tcBorders>
              <w:tl2br w:val="nil"/>
              <w:tr2bl w:val="nil"/>
            </w:tcBorders>
            <w:vAlign w:val="center"/>
          </w:tcPr>
          <w:p w14:paraId="0737A411">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737A412">
            <w:pPr>
              <w:spacing w:line="240" w:lineRule="exact"/>
              <w:rPr>
                <w:rFonts w:hint="eastAsia" w:ascii="仿宋" w:hAnsi="仿宋" w:eastAsia="仿宋"/>
                <w:color w:val="000000"/>
                <w:sz w:val="21"/>
                <w:szCs w:val="21"/>
              </w:rPr>
            </w:pPr>
          </w:p>
        </w:tc>
      </w:tr>
      <w:tr w14:paraId="0737A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6" w:hRule="exact"/>
          <w:jc w:val="center"/>
        </w:trPr>
        <w:tc>
          <w:tcPr>
            <w:tcW w:w="992" w:type="dxa"/>
            <w:tcBorders>
              <w:tl2br w:val="nil"/>
              <w:tr2bl w:val="nil"/>
            </w:tcBorders>
            <w:vAlign w:val="center"/>
          </w:tcPr>
          <w:p w14:paraId="0737A414">
            <w:pPr>
              <w:spacing w:line="320" w:lineRule="exact"/>
              <w:jc w:val="center"/>
              <w:rPr>
                <w:rFonts w:hint="eastAsia" w:ascii="华文中宋" w:hAnsi="华文中宋" w:eastAsia="华文中宋"/>
                <w:sz w:val="28"/>
              </w:rPr>
            </w:pPr>
            <w:bookmarkStart w:id="19" w:name="_Hlk227067474"/>
            <w:r>
              <w:rPr>
                <w:rFonts w:hint="eastAsia" w:ascii="华文中宋" w:hAnsi="华文中宋" w:eastAsia="华文中宋"/>
                <w:sz w:val="28"/>
              </w:rPr>
              <w:t xml:space="preserve">  ︵</w:t>
            </w:r>
          </w:p>
          <w:p w14:paraId="0737A415">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0737A416">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0737A417">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0737A418">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0737A419">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0737A41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color w:val="000000"/>
                <w:sz w:val="21"/>
                <w:szCs w:val="21"/>
                <w:lang w:val="en-US" w:eastAsia="zh-CN"/>
              </w:rPr>
            </w:pPr>
          </w:p>
          <w:p w14:paraId="02CE8FF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color w:val="000000"/>
                <w:sz w:val="21"/>
                <w:szCs w:val="21"/>
                <w:lang w:val="en-US" w:eastAsia="zh-CN"/>
              </w:rPr>
            </w:pPr>
            <w:bookmarkStart w:id="20" w:name="OLE_LINK144"/>
            <w:bookmarkStart w:id="21" w:name="OLE_LINK145"/>
            <w:bookmarkStart w:id="22" w:name="OLE_LINK141"/>
            <w:bookmarkStart w:id="23" w:name="OLE_LINK159"/>
            <w:r>
              <w:rPr>
                <w:rFonts w:hint="eastAsia" w:ascii="仿宋" w:hAnsi="仿宋" w:eastAsia="仿宋" w:cs="仿宋"/>
                <w:color w:val="000000"/>
                <w:sz w:val="21"/>
                <w:szCs w:val="21"/>
                <w:lang w:val="en-US" w:eastAsia="zh-CN"/>
              </w:rPr>
              <w:t>首届全国青少年女子足球团结友谊</w:t>
            </w:r>
            <w:bookmarkStart w:id="24" w:name="OLE_LINK147"/>
            <w:r>
              <w:rPr>
                <w:rFonts w:hint="eastAsia" w:ascii="仿宋" w:hAnsi="仿宋" w:eastAsia="仿宋" w:cs="仿宋"/>
                <w:color w:val="000000"/>
                <w:sz w:val="21"/>
                <w:szCs w:val="21"/>
                <w:lang w:val="en-US" w:eastAsia="zh-CN"/>
              </w:rPr>
              <w:t>赛和国通语展示活动在新疆喀什举办，本刊派出采访组开展全媒体报道，全网触达1.8亿次受众，</w:t>
            </w:r>
            <w:bookmarkEnd w:id="24"/>
            <w:r>
              <w:rPr>
                <w:rFonts w:hint="eastAsia" w:ascii="仿宋" w:hAnsi="仿宋" w:eastAsia="仿宋" w:cs="仿宋"/>
                <w:color w:val="000000"/>
                <w:sz w:val="21"/>
                <w:szCs w:val="21"/>
                <w:lang w:val="en-US" w:eastAsia="zh-CN"/>
              </w:rPr>
              <w:t>此评论是其中的领衔之作。</w:t>
            </w:r>
            <w:bookmarkEnd w:id="20"/>
            <w:bookmarkEnd w:id="21"/>
            <w:r>
              <w:rPr>
                <w:rFonts w:hint="eastAsia" w:ascii="仿宋" w:hAnsi="仿宋" w:eastAsia="仿宋" w:cs="仿宋"/>
                <w:color w:val="000000"/>
                <w:sz w:val="21"/>
                <w:szCs w:val="21"/>
                <w:lang w:val="en-US" w:eastAsia="zh-CN"/>
              </w:rPr>
              <w:t>本刊评论员蹲守在喀什的绿茵</w:t>
            </w:r>
            <w:bookmarkEnd w:id="22"/>
            <w:r>
              <w:rPr>
                <w:rFonts w:hint="eastAsia" w:ascii="仿宋" w:hAnsi="仿宋" w:eastAsia="仿宋" w:cs="仿宋"/>
                <w:color w:val="000000"/>
                <w:sz w:val="21"/>
                <w:szCs w:val="21"/>
                <w:lang w:val="en-US" w:eastAsia="zh-CN"/>
              </w:rPr>
              <w:t>场边，陪伴14个民族300多个女足队员们训练、比赛、生活。用脚力跑出来、</w:t>
            </w:r>
            <w:bookmarkStart w:id="25" w:name="OLE_LINK151"/>
            <w:r>
              <w:rPr>
                <w:rFonts w:hint="eastAsia" w:ascii="仿宋" w:hAnsi="仿宋" w:eastAsia="仿宋" w:cs="仿宋"/>
                <w:color w:val="000000"/>
                <w:sz w:val="21"/>
                <w:szCs w:val="21"/>
                <w:lang w:val="en-US" w:eastAsia="zh-CN"/>
              </w:rPr>
              <w:t>眼力观察到、</w:t>
            </w:r>
            <w:bookmarkEnd w:id="25"/>
            <w:bookmarkStart w:id="26" w:name="OLE_LINK162"/>
            <w:r>
              <w:rPr>
                <w:rFonts w:hint="eastAsia" w:ascii="仿宋" w:hAnsi="仿宋" w:eastAsia="仿宋" w:cs="仿宋"/>
                <w:color w:val="000000"/>
                <w:sz w:val="21"/>
                <w:szCs w:val="21"/>
                <w:lang w:val="en-US" w:eastAsia="zh-CN"/>
              </w:rPr>
              <w:t>用脑力感受，</w:t>
            </w:r>
            <w:bookmarkEnd w:id="26"/>
            <w:r>
              <w:rPr>
                <w:rFonts w:hint="eastAsia" w:ascii="仿宋" w:hAnsi="仿宋" w:eastAsia="仿宋" w:cs="仿宋"/>
                <w:color w:val="000000"/>
                <w:sz w:val="21"/>
                <w:szCs w:val="21"/>
                <w:lang w:val="en-US" w:eastAsia="zh-CN"/>
              </w:rPr>
              <w:t>最终写出彰显笔力的文字</w:t>
            </w:r>
            <w:bookmarkStart w:id="27" w:name="OLE_LINK140"/>
            <w:r>
              <w:rPr>
                <w:rFonts w:hint="eastAsia" w:ascii="仿宋" w:hAnsi="仿宋" w:eastAsia="仿宋" w:cs="仿宋"/>
                <w:color w:val="000000"/>
                <w:sz w:val="21"/>
                <w:szCs w:val="21"/>
                <w:lang w:val="en-US" w:eastAsia="zh-CN"/>
              </w:rPr>
              <w:t>，将足球场定义为铸牢中华民族共同体意识的场</w:t>
            </w:r>
            <w:bookmarkEnd w:id="27"/>
            <w:r>
              <w:rPr>
                <w:rFonts w:hint="eastAsia" w:ascii="仿宋" w:hAnsi="仿宋" w:eastAsia="仿宋" w:cs="仿宋"/>
                <w:color w:val="000000"/>
                <w:sz w:val="21"/>
                <w:szCs w:val="21"/>
                <w:lang w:val="en-US" w:eastAsia="zh-CN"/>
              </w:rPr>
              <w:t>所，把12至14岁女孩的团队精神定义为“建设祖国的未来动能”，既有评论的思想锐度，又有文学的感染力，体现了新时代女性主流媒体的高度和温度，符合“导向正确、思想深刻、文笔生动、传播广泛”的评奖标准。</w:t>
            </w:r>
          </w:p>
          <w:bookmarkEnd w:id="23"/>
          <w:p w14:paraId="0737A41C">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0737A41D">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签名：</w:t>
            </w:r>
          </w:p>
          <w:p w14:paraId="0737A41E">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bookmarkEnd w:id="0"/>
      <w:bookmarkEnd w:id="19"/>
    </w:tbl>
    <w:p w14:paraId="0737A420">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CA43188-087B-4B7C-B1EA-9E233A0E300A}"/>
  </w:font>
  <w:font w:name="方正仿宋_GB2312">
    <w:panose1 w:val="02000000000000000000"/>
    <w:charset w:val="86"/>
    <w:family w:val="auto"/>
    <w:pitch w:val="default"/>
    <w:sig w:usb0="A00002BF" w:usb1="184F6CFA" w:usb2="00000012" w:usb3="00000000" w:csb0="00040001" w:csb1="00000000"/>
    <w:embedRegular r:id="rId2" w:fontKey="{9A5C9D4D-7D47-4D34-8DE2-7C54FD46A818}"/>
  </w:font>
  <w:font w:name="华文中宋">
    <w:panose1 w:val="02010600040101010101"/>
    <w:charset w:val="86"/>
    <w:family w:val="auto"/>
    <w:pitch w:val="default"/>
    <w:sig w:usb0="00000287" w:usb1="080F0000" w:usb2="00000000" w:usb3="00000000" w:csb0="0004009F" w:csb1="DFD70000"/>
    <w:embedRegular r:id="rId3" w:fontKey="{72E7CE92-6093-4BC0-AAEE-D3A921752890}"/>
  </w:font>
  <w:font w:name="仿宋">
    <w:panose1 w:val="02010609060101010101"/>
    <w:charset w:val="86"/>
    <w:family w:val="modern"/>
    <w:pitch w:val="default"/>
    <w:sig w:usb0="800002BF" w:usb1="38CF7CFA" w:usb2="00000016" w:usb3="00000000" w:csb0="00040001" w:csb1="00000000"/>
    <w:embedRegular r:id="rId4" w:fontKey="{27822802-074D-4FA0-9B2A-FF5A90A1A71E}"/>
  </w:font>
  <w:font w:name="楷体">
    <w:panose1 w:val="02010609060101010101"/>
    <w:charset w:val="86"/>
    <w:family w:val="modern"/>
    <w:pitch w:val="default"/>
    <w:sig w:usb0="800002BF" w:usb1="38CF7CFA" w:usb2="00000016" w:usb3="00000000" w:csb0="00040001" w:csb1="00000000"/>
    <w:embedRegular r:id="rId5" w:fontKey="{50575AB1-CBC0-4C8A-8F9F-685BC66723AE}"/>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7A421">
    <w:pPr>
      <w:pStyle w:val="3"/>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B1"/>
    <w:rsid w:val="000F43E2"/>
    <w:rsid w:val="00136C2E"/>
    <w:rsid w:val="00194093"/>
    <w:rsid w:val="002A04D2"/>
    <w:rsid w:val="0034251F"/>
    <w:rsid w:val="0055437C"/>
    <w:rsid w:val="00923EB1"/>
    <w:rsid w:val="00C955A5"/>
    <w:rsid w:val="00DD00EF"/>
    <w:rsid w:val="00F3635F"/>
    <w:rsid w:val="0C95231F"/>
    <w:rsid w:val="0F53360D"/>
    <w:rsid w:val="103E4A53"/>
    <w:rsid w:val="16FC353B"/>
    <w:rsid w:val="291819B2"/>
    <w:rsid w:val="2DA5099A"/>
    <w:rsid w:val="33363900"/>
    <w:rsid w:val="38B77B2F"/>
    <w:rsid w:val="38D259D5"/>
    <w:rsid w:val="3B892174"/>
    <w:rsid w:val="40161AFD"/>
    <w:rsid w:val="4CA94913"/>
    <w:rsid w:val="50F73284"/>
    <w:rsid w:val="53832F3F"/>
    <w:rsid w:val="54B75204"/>
    <w:rsid w:val="553E0052"/>
    <w:rsid w:val="5D250E1A"/>
    <w:rsid w:val="6A1A1813"/>
    <w:rsid w:val="70CD2B43"/>
    <w:rsid w:val="73F26870"/>
    <w:rsid w:val="78811502"/>
    <w:rsid w:val="7BB51F6D"/>
    <w:rsid w:val="7DDF1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eastAsia="宋体"/>
      <w:sz w:val="28"/>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脚 字符"/>
    <w:basedOn w:val="7"/>
    <w:link w:val="4"/>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829</Words>
  <Characters>848</Characters>
  <Lines>65</Lines>
  <Paragraphs>73</Paragraphs>
  <TotalTime>7</TotalTime>
  <ScaleCrop>false</ScaleCrop>
  <LinksUpToDate>false</LinksUpToDate>
  <CharactersWithSpaces>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2026-04-14T05:52:00Z</dcterms:created>
  <dc:creator>EDY</dc:creator>
  <cp:lastModifiedBy>彭杨晗</cp:lastModifiedBy>
  <dcterms:modified xsi:type="dcterms:W3CDTF">2026-04-15T03:44:49Z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eyJoZGlkIjoiYjY4OTdmMjg4ODYzNTI4ZTI3YmMwZWIxMTMyNjgzYWYiLCJ1c2VySWQiOiI0NTUwMDc2NzcifQ==</vt:lpwstr>
  </property>
  <property fmtid="{D5CDD505-2E9C-101B-9397-08002B2CF9AE}" pid="4" name="ICV">
    <vt:lpwstr>D1E8F804244740EF9C47E280E765C5A0_12</vt:lpwstr>
  </property>
</Properties>
</file>